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31277B0" w14:textId="26EFE29C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B420BF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三年級　□四年級　</w:t>
      </w:r>
      <w:r w:rsidR="00B420BF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五年級　□六年級</w:t>
      </w:r>
    </w:p>
    <w:p w14:paraId="268687BC" w14:textId="203C5A93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r w:rsidR="002D1D32" w:rsidRPr="002D1D32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 xml:space="preserve">語文　　</w:t>
      </w:r>
      <w:bookmarkStart w:id="0" w:name="_Hlk70968370"/>
      <w:r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□社會　□藝術與人文</w:t>
      </w:r>
    </w:p>
    <w:p w14:paraId="12120740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2C219620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670F6F61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14:paraId="671FB3B9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3F12FACD" w:rsidR="008316E0" w:rsidRPr="000542FF" w:rsidRDefault="000542FF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0542FF">
              <w:rPr>
                <w:rFonts w:ascii="標楷體" w:eastAsia="標楷體" w:hAnsi="標楷體" w:hint="eastAsia"/>
                <w:sz w:val="18"/>
                <w:szCs w:val="18"/>
              </w:rPr>
              <w:t>一、</w:t>
            </w:r>
            <w:r w:rsidR="008316E0" w:rsidRPr="000542FF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採用教育部審查通過教科書，符合課綱理念、規定項目及學生身心發展</w:t>
            </w:r>
            <w:r w:rsidR="003E311C" w:rsidRPr="000542FF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14:paraId="38D1816E" w14:textId="013A1CA1" w:rsidR="00F838E2" w:rsidRPr="000542FF" w:rsidRDefault="000542FF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0542FF"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F838E2" w:rsidRPr="000542FF">
              <w:rPr>
                <w:rFonts w:ascii="標楷體" w:eastAsia="標楷體" w:hAnsi="標楷體" w:hint="eastAsia"/>
                <w:sz w:val="18"/>
                <w:szCs w:val="18"/>
              </w:rPr>
              <w:t>教學單元及主題內容，皆具備順序性、繼續性與統整性</w:t>
            </w:r>
            <w:r w:rsidR="00A72B24" w:rsidRPr="000542FF">
              <w:rPr>
                <w:rFonts w:ascii="標楷體" w:eastAsia="標楷體" w:hAnsi="標楷體" w:hint="eastAsia"/>
                <w:sz w:val="18"/>
                <w:szCs w:val="18"/>
              </w:rPr>
              <w:t>，不會產生課程銜接的問題</w:t>
            </w:r>
            <w:r w:rsidR="00F838E2" w:rsidRPr="000542FF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135CDA" w14:textId="34BC2B65" w:rsidR="00F838E2" w:rsidRPr="000542FF" w:rsidRDefault="000542FF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F838E2" w:rsidRPr="000542FF"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 w:rsidRPr="000542FF">
              <w:rPr>
                <w:rFonts w:ascii="標楷體" w:eastAsia="標楷體" w:hAnsi="標楷體" w:hint="eastAsia"/>
                <w:sz w:val="18"/>
                <w:szCs w:val="18"/>
              </w:rPr>
              <w:t>時間、進度和期程視學生先備知識與需求作適當的增刪、調整及補充;能結合學生生活經驗與情境，設計</w:t>
            </w:r>
            <w:r w:rsidR="00A72B24" w:rsidRPr="000542FF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 w:rsidRPr="000542FF">
              <w:rPr>
                <w:rFonts w:ascii="標楷體" w:eastAsia="標楷體" w:hAnsi="標楷體" w:hint="eastAsia"/>
                <w:sz w:val="18"/>
                <w:szCs w:val="18"/>
              </w:rPr>
              <w:t>的評量方式，具呼應性與邏輯性。</w:t>
            </w:r>
          </w:p>
          <w:p w14:paraId="4CC2DDDC" w14:textId="35ACF9E3" w:rsidR="00872437" w:rsidRPr="001C48F3" w:rsidRDefault="00F838E2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課程內容能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結合節慶及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在地文化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資源。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30EC901E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7E619627" w:rsidR="00872437" w:rsidRDefault="00563EB0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90C481E" w14:textId="1EA5B2FF" w:rsidR="008316E0" w:rsidRPr="008316E0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，並能依據課程計畫所訂定之各週進度實施課程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7377A84" w14:textId="2991DA0F" w:rsidR="008316E0" w:rsidRPr="008316E0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二、課程計畫於學期初公告校網，相關重要活動亦公告於校刊及透過聯絡簿通知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266620F" w14:textId="26640F11" w:rsidR="00872437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三、開學前教科書及相關教材皆已到位。</w:t>
            </w:r>
          </w:p>
          <w:p w14:paraId="6CCCB921" w14:textId="77777777" w:rsidR="00872437" w:rsidRPr="001C48F3" w:rsidRDefault="00872437" w:rsidP="00667C06">
            <w:pPr>
              <w:tabs>
                <w:tab w:val="left" w:pos="13750"/>
              </w:tabs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72A2781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027D4619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1AF6DBC4" w:rsidR="00872437" w:rsidRDefault="00563EB0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885E201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33C3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5C14B6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69C6605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902A6A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5CDF7F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872437" w:rsidRPr="00EF0BA6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74865F4" w14:textId="77777777" w:rsidR="008316E0" w:rsidRPr="008316E0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3F7C127D" w14:textId="77777777" w:rsidR="008316E0" w:rsidRPr="008316E0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二、每學期兩次共同備課討論教學方式及要點。</w:t>
            </w:r>
          </w:p>
          <w:p w14:paraId="15DE1EE1" w14:textId="1E47DFEF" w:rsidR="008316E0" w:rsidRPr="008316E0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;並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  <w:p w14:paraId="1A1F19FF" w14:textId="47FB4F42" w:rsidR="00872437" w:rsidRPr="001C48F3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四、透過定期評量、平時觀察、展演及作業等了解學習情形，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進行課程與教學調整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，並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針對學習落後學生進行補救教學。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363508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07D2EB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E32CA6A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D8C1B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52438E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B2B5C2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4F3B99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682B9F2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872437" w:rsidRDefault="00872437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CC63BB0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ED59" w14:textId="77777777" w:rsidR="00872437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254161E6" w14:textId="77777777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8226A">
              <w:rPr>
                <w:rFonts w:ascii="標楷體" w:eastAsia="標楷體" w:hAnsi="標楷體" w:hint="eastAsia"/>
                <w:sz w:val="18"/>
                <w:szCs w:val="18"/>
              </w:rPr>
              <w:t>校務行政系統、學習扶助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平臺及縣市學力檢測資料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5855840D" w14:textId="433082EA" w:rsidR="00872437" w:rsidRPr="001C48F3" w:rsidRDefault="00872437" w:rsidP="0066303B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26C1C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7DC35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C67E05F" w14:textId="5924522F" w:rsidR="008316E0" w:rsidRPr="008316E0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一、多數學生皆能習得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該階段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基礎及態度。</w:t>
            </w:r>
          </w:p>
          <w:p w14:paraId="276A0A1E" w14:textId="77777777" w:rsidR="00872437" w:rsidRDefault="008316E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A26C1C">
              <w:rPr>
                <w:rFonts w:ascii="標楷體" w:eastAsia="標楷體" w:hAnsi="標楷體" w:hint="eastAsia"/>
                <w:sz w:val="18"/>
                <w:szCs w:val="18"/>
              </w:rPr>
              <w:t>定期考查多數達到及格以上。</w:t>
            </w:r>
          </w:p>
          <w:p w14:paraId="19A1F129" w14:textId="0A3B771A" w:rsidR="00A26C1C" w:rsidRDefault="00A26C1C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三、作文均達</w:t>
            </w:r>
            <w:r w:rsidR="00563EB0">
              <w:rPr>
                <w:rFonts w:ascii="標楷體" w:eastAsia="標楷體" w:hAnsi="標楷體" w:hint="eastAsia"/>
                <w:sz w:val="18"/>
                <w:szCs w:val="18"/>
              </w:rPr>
              <w:t>五~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六篇以上。</w:t>
            </w:r>
          </w:p>
          <w:p w14:paraId="0B9652D6" w14:textId="59E2AC15" w:rsidR="005257B0" w:rsidRPr="005257B0" w:rsidRDefault="005257B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5257B0">
              <w:rPr>
                <w:rFonts w:ascii="標楷體" w:eastAsia="標楷體" w:hAnsi="標楷體" w:hint="eastAsia"/>
                <w:sz w:val="18"/>
                <w:szCs w:val="18"/>
              </w:rPr>
              <w:t>、教師能轉化課文內容，善用教學媒體，輔助教學效果，讓學生易於理解，並能培養領域學習素養，具備持續學習的基礎及良好態度。</w:t>
            </w:r>
          </w:p>
          <w:p w14:paraId="47BB6A32" w14:textId="66AC9C87" w:rsidR="005257B0" w:rsidRPr="001C48F3" w:rsidRDefault="005257B0" w:rsidP="00667C06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5257B0">
              <w:rPr>
                <w:rFonts w:ascii="標楷體" w:eastAsia="標楷體" w:hAnsi="標楷體" w:hint="eastAsia"/>
                <w:sz w:val="18"/>
                <w:szCs w:val="18"/>
              </w:rPr>
              <w:t>、學生能透過多元評量如展演、報告、學習單等方式呈現自己的學習成果。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1A2B" w:rsidRPr="001C48F3" w14:paraId="49A40834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E41A2B" w:rsidRPr="001C48F3" w:rsidRDefault="00E41A2B" w:rsidP="00E41A2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E41A2B" w:rsidRPr="001C48F3" w:rsidRDefault="00E41A2B" w:rsidP="00E41A2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E41A2B" w:rsidRPr="001C48F3" w:rsidRDefault="00E41A2B" w:rsidP="00E41A2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E41A2B" w:rsidRPr="001C48F3" w:rsidRDefault="00E41A2B" w:rsidP="00E41A2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1D5EAF58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213112CA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E41A2B" w:rsidRDefault="00E41A2B" w:rsidP="00E41A2B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58D3DC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7C4880B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1A2B" w:rsidRPr="001C48F3" w14:paraId="6713B98C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E41A2B" w:rsidRPr="001C48F3" w:rsidRDefault="00E41A2B" w:rsidP="00E41A2B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E41A2B" w:rsidRPr="001C48F3" w:rsidRDefault="00E41A2B" w:rsidP="00E41A2B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E41A2B" w:rsidRDefault="00E41A2B" w:rsidP="00E41A2B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E41A2B" w:rsidRPr="001C48F3" w:rsidRDefault="00E41A2B" w:rsidP="00E41A2B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24426A93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22FF3DEE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E41A2B" w:rsidRDefault="00E41A2B" w:rsidP="00E41A2B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EBAB15F" w14:textId="77777777" w:rsidR="000542FF" w:rsidRPr="00272EF5" w:rsidRDefault="000542FF" w:rsidP="000542FF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14</w:t>
      </w:r>
      <w:r w:rsidRPr="00272EF5">
        <w:rPr>
          <w:rFonts w:ascii="標楷體" w:eastAsia="標楷體" w:hAnsi="標楷體" w:hint="eastAsia"/>
          <w:b/>
        </w:rPr>
        <w:t>日</w:t>
      </w:r>
    </w:p>
    <w:p w14:paraId="1B33665A" w14:textId="77777777" w:rsidR="000542FF" w:rsidRDefault="000542FF" w:rsidP="000542FF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>
        <w:rPr>
          <w:rFonts w:ascii="標楷體" w:eastAsia="標楷體" w:hAnsi="標楷體" w:hint="eastAsia"/>
          <w:b/>
        </w:rPr>
        <w:t>李蓮欣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錢俊其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楊詠晴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楊雅惠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楊立惠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童惠玲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黃月絹、林俐媜</w:t>
      </w:r>
    </w:p>
    <w:p w14:paraId="18953045" w14:textId="3D1A82FE" w:rsidR="001010B7" w:rsidRPr="000542FF" w:rsidRDefault="001010B7" w:rsidP="00563EB0">
      <w:pPr>
        <w:tabs>
          <w:tab w:val="left" w:pos="13750"/>
        </w:tabs>
        <w:spacing w:beforeLines="50" w:before="180" w:afterLines="50" w:after="180"/>
        <w:jc w:val="both"/>
      </w:pPr>
    </w:p>
    <w:sectPr w:rsidR="001010B7" w:rsidRPr="000542FF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D06B" w14:textId="77777777" w:rsidR="00AF5441" w:rsidRDefault="00AF5441" w:rsidP="00A8226A">
      <w:r>
        <w:separator/>
      </w:r>
    </w:p>
  </w:endnote>
  <w:endnote w:type="continuationSeparator" w:id="0">
    <w:p w14:paraId="23EDB068" w14:textId="77777777" w:rsidR="00AF5441" w:rsidRDefault="00AF5441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20CD" w14:textId="77777777" w:rsidR="00AF5441" w:rsidRDefault="00AF5441" w:rsidP="00A8226A">
      <w:r>
        <w:separator/>
      </w:r>
    </w:p>
  </w:footnote>
  <w:footnote w:type="continuationSeparator" w:id="0">
    <w:p w14:paraId="754B4DA0" w14:textId="77777777" w:rsidR="00AF5441" w:rsidRDefault="00AF5441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E5139"/>
    <w:multiLevelType w:val="hybridMultilevel"/>
    <w:tmpl w:val="9A44C1BC"/>
    <w:lvl w:ilvl="0" w:tplc="600E65EC">
      <w:start w:val="3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9504716">
    <w:abstractNumId w:val="1"/>
  </w:num>
  <w:num w:numId="2" w16cid:durableId="159115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542FF"/>
    <w:rsid w:val="00060279"/>
    <w:rsid w:val="000821AB"/>
    <w:rsid w:val="000B4FF8"/>
    <w:rsid w:val="001010B7"/>
    <w:rsid w:val="00137BD0"/>
    <w:rsid w:val="001E0ECC"/>
    <w:rsid w:val="0021277F"/>
    <w:rsid w:val="00251FE8"/>
    <w:rsid w:val="00272EF5"/>
    <w:rsid w:val="002B78F0"/>
    <w:rsid w:val="002D1D32"/>
    <w:rsid w:val="00393C44"/>
    <w:rsid w:val="003E2A99"/>
    <w:rsid w:val="003E311C"/>
    <w:rsid w:val="004444C6"/>
    <w:rsid w:val="004630DB"/>
    <w:rsid w:val="004740C7"/>
    <w:rsid w:val="00497BD1"/>
    <w:rsid w:val="004B2C84"/>
    <w:rsid w:val="005257B0"/>
    <w:rsid w:val="00563EB0"/>
    <w:rsid w:val="005E0406"/>
    <w:rsid w:val="00653589"/>
    <w:rsid w:val="0066303B"/>
    <w:rsid w:val="00667C06"/>
    <w:rsid w:val="006B7B77"/>
    <w:rsid w:val="00757E18"/>
    <w:rsid w:val="007B245B"/>
    <w:rsid w:val="008316E0"/>
    <w:rsid w:val="00872437"/>
    <w:rsid w:val="008901BC"/>
    <w:rsid w:val="00912216"/>
    <w:rsid w:val="00921CA6"/>
    <w:rsid w:val="00986FE4"/>
    <w:rsid w:val="009D2D3E"/>
    <w:rsid w:val="00A05DCE"/>
    <w:rsid w:val="00A2463F"/>
    <w:rsid w:val="00A26C1C"/>
    <w:rsid w:val="00A72B24"/>
    <w:rsid w:val="00A8226A"/>
    <w:rsid w:val="00AA7F43"/>
    <w:rsid w:val="00AD1AFD"/>
    <w:rsid w:val="00AF5441"/>
    <w:rsid w:val="00B420BF"/>
    <w:rsid w:val="00BD6060"/>
    <w:rsid w:val="00C86645"/>
    <w:rsid w:val="00CE0D22"/>
    <w:rsid w:val="00CE5E15"/>
    <w:rsid w:val="00D64042"/>
    <w:rsid w:val="00E41A2B"/>
    <w:rsid w:val="00E64F20"/>
    <w:rsid w:val="00E87EBC"/>
    <w:rsid w:val="00EA01E5"/>
    <w:rsid w:val="00F54F76"/>
    <w:rsid w:val="00F838E2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Lotus Lee</cp:lastModifiedBy>
  <cp:revision>5</cp:revision>
  <dcterms:created xsi:type="dcterms:W3CDTF">2025-05-14T11:38:00Z</dcterms:created>
  <dcterms:modified xsi:type="dcterms:W3CDTF">2025-05-14T11:48:00Z</dcterms:modified>
</cp:coreProperties>
</file>