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179B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領域課程（由各年級各領域授課教師評鑑匯整）</w:t>
      </w:r>
    </w:p>
    <w:p w14:paraId="731277B0" w14:textId="487BD80E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年級別：</w:t>
      </w:r>
      <w:r w:rsidR="002D1D32" w:rsidRPr="002D1D32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一年級　</w:t>
      </w:r>
      <w:r w:rsidR="00A05DCE" w:rsidRPr="00A05DCE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二年級　</w:t>
      </w:r>
      <w:r w:rsidR="00306D6A" w:rsidRPr="00C01B41">
        <w:rPr>
          <w:rFonts w:ascii="標楷體" w:eastAsia="標楷體" w:hAnsi="標楷體" w:hint="eastAsia"/>
          <w:b/>
        </w:rPr>
        <w:t>□</w:t>
      </w:r>
      <w:r w:rsidRPr="00C01B41">
        <w:rPr>
          <w:rFonts w:ascii="標楷體" w:eastAsia="標楷體" w:hAnsi="標楷體" w:hint="eastAsia"/>
          <w:b/>
        </w:rPr>
        <w:t xml:space="preserve">三年級　□四年級　</w:t>
      </w:r>
      <w:r w:rsidR="00306D6A" w:rsidRPr="00A05DCE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五年級　□六年級</w:t>
      </w:r>
    </w:p>
    <w:p w14:paraId="268687BC" w14:textId="0379A673" w:rsidR="00872437" w:rsidRPr="00C01B41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>領域別：</w:t>
      </w:r>
      <w:r w:rsidR="00A00AA7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語文　　</w:t>
      </w:r>
      <w:bookmarkStart w:id="0" w:name="_Hlk70968370"/>
      <w:r>
        <w:rPr>
          <w:rFonts w:ascii="標楷體" w:eastAsia="標楷體" w:hAnsi="標楷體" w:hint="eastAsia"/>
          <w:b/>
        </w:rPr>
        <w:t>□</w:t>
      </w:r>
      <w:bookmarkEnd w:id="0"/>
      <w:r>
        <w:rPr>
          <w:rFonts w:ascii="標楷體" w:eastAsia="標楷體" w:hAnsi="標楷體" w:hint="eastAsia"/>
          <w:b/>
        </w:rPr>
        <w:t>數學　　□生活　　□自然</w:t>
      </w:r>
      <w:r w:rsidRPr="00C01B41">
        <w:rPr>
          <w:rFonts w:ascii="標楷體" w:eastAsia="標楷體" w:hAnsi="標楷體" w:hint="eastAsia"/>
          <w:b/>
        </w:rPr>
        <w:t xml:space="preserve">　</w:t>
      </w:r>
      <w:r w:rsidR="00A00AA7">
        <w:rPr>
          <w:rFonts w:ascii="標楷體" w:eastAsia="標楷體" w:hAnsi="標楷體" w:hint="eastAsia"/>
          <w:b/>
        </w:rPr>
        <w:t>■</w:t>
      </w:r>
      <w:r w:rsidRPr="00C01B41">
        <w:rPr>
          <w:rFonts w:ascii="標楷體" w:eastAsia="標楷體" w:hAnsi="標楷體" w:hint="eastAsia"/>
          <w:b/>
        </w:rPr>
        <w:t>社會　□藝術與人文</w:t>
      </w:r>
    </w:p>
    <w:p w14:paraId="12120740" w14:textId="77777777" w:rsidR="00872437" w:rsidRDefault="00872437" w:rsidP="002B78F0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C01B41">
        <w:rPr>
          <w:rFonts w:ascii="標楷體" w:eastAsia="標楷體" w:hAnsi="標楷體" w:hint="eastAsia"/>
          <w:b/>
        </w:rPr>
        <w:t xml:space="preserve">　　　　□健康與體育　　　　□綜合活動　</w:t>
      </w:r>
    </w:p>
    <w:tbl>
      <w:tblPr>
        <w:tblStyle w:val="a3"/>
        <w:tblW w:w="9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4"/>
        <w:gridCol w:w="693"/>
        <w:gridCol w:w="1152"/>
        <w:gridCol w:w="2529"/>
        <w:gridCol w:w="425"/>
        <w:gridCol w:w="426"/>
        <w:gridCol w:w="428"/>
        <w:gridCol w:w="426"/>
        <w:gridCol w:w="12"/>
        <w:gridCol w:w="2405"/>
        <w:gridCol w:w="795"/>
      </w:tblGrid>
      <w:tr w:rsidR="00872437" w:rsidRPr="001C48F3" w14:paraId="2C219620" w14:textId="77777777" w:rsidTr="0024555D">
        <w:trPr>
          <w:trHeight w:val="381"/>
        </w:trPr>
        <w:tc>
          <w:tcPr>
            <w:tcW w:w="684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ACCE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評鑑對象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793EC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評鑑層面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6A8E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評鑑原則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A549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1C48F3">
              <w:rPr>
                <w:rFonts w:ascii="標楷體" w:eastAsia="標楷體" w:hAnsi="標楷體" w:hint="eastAsia"/>
                <w:b/>
                <w:szCs w:val="20"/>
              </w:rPr>
              <w:t>評鑑資料與方法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06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情形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FF104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說明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20386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872437" w:rsidRPr="001C48F3" w14:paraId="18B362C4" w14:textId="77777777" w:rsidTr="0024555D">
        <w:trPr>
          <w:trHeight w:val="339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F890C0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EA6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1C888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56D57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47D15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2376076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良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7C3E8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77623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調修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D00839E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C62CD9" w14:textId="77777777" w:rsidR="00872437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72437" w:rsidRPr="001C48F3" w14:paraId="471FE432" w14:textId="77777777" w:rsidTr="0024555D">
        <w:trPr>
          <w:trHeight w:val="297"/>
        </w:trPr>
        <w:tc>
          <w:tcPr>
            <w:tcW w:w="6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A0661D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領域</w:t>
            </w:r>
            <w:r w:rsidRPr="001C48F3">
              <w:rPr>
                <w:rFonts w:ascii="標楷體" w:eastAsia="標楷體" w:hAnsi="標楷體" w:hint="eastAsia"/>
                <w:szCs w:val="20"/>
              </w:rPr>
              <w:t>課程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7A36DC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設</w:t>
            </w:r>
            <w:r w:rsidRPr="001C48F3">
              <w:rPr>
                <w:rFonts w:ascii="標楷體" w:eastAsia="標楷體" w:hAnsi="標楷體" w:hint="eastAsia"/>
                <w:szCs w:val="20"/>
              </w:rPr>
              <w:t>計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9764F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呼應課綱理念及學校課程願景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97022" w14:textId="08ACCCFF" w:rsidR="00872437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5A7FD7">
              <w:rPr>
                <w:rFonts w:ascii="標楷體" w:eastAsia="標楷體" w:hAnsi="標楷體" w:hint="eastAsia"/>
                <w:sz w:val="18"/>
                <w:szCs w:val="18"/>
              </w:rPr>
              <w:t>課程核心小組及課程發展委員會會議記錄。</w:t>
            </w:r>
          </w:p>
          <w:p w14:paraId="671FB3B9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領域課程計畫、教材、教科書、學習資源。</w:t>
            </w:r>
          </w:p>
          <w:p w14:paraId="463EA536" w14:textId="77777777" w:rsidR="00872437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.授課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教師或學生之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54DCC2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4.作業或學習單等資料。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5FE02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10E4C3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E003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AB26F5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24AEA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E00B88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4758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520E7FE2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2DA9F6D" w14:textId="00BE2CD0" w:rsidR="008316E0" w:rsidRPr="00AD736D" w:rsidRDefault="00AD736D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</w:t>
            </w:r>
            <w:r w:rsidR="008316E0" w:rsidRPr="00AD736D">
              <w:rPr>
                <w:rFonts w:ascii="標楷體" w:eastAsia="標楷體" w:hAnsi="標楷體" w:hint="eastAsia"/>
                <w:sz w:val="18"/>
                <w:szCs w:val="18"/>
              </w:rPr>
              <w:t>採用教育部審查通過教科書，符合課綱理念、規定項目及學生身心發展</w:t>
            </w:r>
            <w:r w:rsidR="003E311C" w:rsidRPr="00AD736D">
              <w:rPr>
                <w:rFonts w:ascii="標楷體" w:eastAsia="標楷體" w:hAnsi="標楷體" w:hint="eastAsia"/>
                <w:sz w:val="18"/>
                <w:szCs w:val="18"/>
              </w:rPr>
              <w:t>，並能呼應核心素養之達成及精熟學習重點。</w:t>
            </w:r>
          </w:p>
          <w:p w14:paraId="38D1816E" w14:textId="04DA3179" w:rsidR="00F838E2" w:rsidRPr="00AD736D" w:rsidRDefault="00AD736D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F838E2" w:rsidRPr="00AD736D">
              <w:rPr>
                <w:rFonts w:ascii="標楷體" w:eastAsia="標楷體" w:hAnsi="標楷體" w:hint="eastAsia"/>
                <w:sz w:val="18"/>
                <w:szCs w:val="18"/>
              </w:rPr>
              <w:t>教學單元及主題內容，皆具備順序性、繼續性與統整性</w:t>
            </w:r>
            <w:r w:rsidR="00A72B24" w:rsidRPr="00AD736D">
              <w:rPr>
                <w:rFonts w:ascii="標楷體" w:eastAsia="標楷體" w:hAnsi="標楷體" w:hint="eastAsia"/>
                <w:sz w:val="18"/>
                <w:szCs w:val="18"/>
              </w:rPr>
              <w:t>，不會產生課程銜接的問題</w:t>
            </w:r>
            <w:r w:rsidR="00F838E2" w:rsidRPr="00AD736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36135CDA" w14:textId="3154C57C" w:rsidR="00F838E2" w:rsidRPr="00AD736D" w:rsidRDefault="00AD736D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F838E2" w:rsidRPr="00AD736D">
              <w:rPr>
                <w:rFonts w:ascii="標楷體" w:eastAsia="標楷體" w:hAnsi="標楷體" w:hint="eastAsia"/>
                <w:sz w:val="18"/>
                <w:szCs w:val="18"/>
              </w:rPr>
              <w:t>教學</w:t>
            </w:r>
            <w:r w:rsidR="00A2463F" w:rsidRPr="00AD736D">
              <w:rPr>
                <w:rFonts w:ascii="標楷體" w:eastAsia="標楷體" w:hAnsi="標楷體" w:hint="eastAsia"/>
                <w:sz w:val="18"/>
                <w:szCs w:val="18"/>
              </w:rPr>
              <w:t>時間、進度和期程視學生先備知識與需求作適當的增刪、調整及補充;能結合學生生活經驗與情境，設計</w:t>
            </w:r>
            <w:r w:rsidR="00A72B24" w:rsidRPr="00AD736D">
              <w:rPr>
                <w:rFonts w:ascii="標楷體" w:eastAsia="標楷體" w:hAnsi="標楷體" w:hint="eastAsia"/>
                <w:sz w:val="18"/>
                <w:szCs w:val="18"/>
              </w:rPr>
              <w:t>不同</w:t>
            </w:r>
            <w:r w:rsidR="00A2463F" w:rsidRPr="00AD736D">
              <w:rPr>
                <w:rFonts w:ascii="標楷體" w:eastAsia="標楷體" w:hAnsi="標楷體" w:hint="eastAsia"/>
                <w:sz w:val="18"/>
                <w:szCs w:val="18"/>
              </w:rPr>
              <w:t>的評量方式，具呼應性與邏輯性。</w:t>
            </w:r>
          </w:p>
          <w:p w14:paraId="4CC2DDDC" w14:textId="640DDFC7" w:rsidR="00872437" w:rsidRPr="001C48F3" w:rsidRDefault="00F838E2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A2463F">
              <w:rPr>
                <w:rFonts w:ascii="標楷體" w:eastAsia="標楷體" w:hAnsi="標楷體" w:hint="eastAsia"/>
                <w:sz w:val="18"/>
                <w:szCs w:val="18"/>
              </w:rPr>
              <w:t>課程內容能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結合節慶及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在地文化</w:t>
            </w:r>
            <w:r w:rsidR="008316E0" w:rsidRPr="008316E0">
              <w:rPr>
                <w:rFonts w:ascii="標楷體" w:eastAsia="標楷體" w:hAnsi="標楷體" w:hint="eastAsia"/>
                <w:sz w:val="18"/>
                <w:szCs w:val="18"/>
              </w:rPr>
              <w:t>資源。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6AC6224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E1CEF9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8006B2D" w14:textId="77777777" w:rsidTr="0024555D">
        <w:trPr>
          <w:trHeight w:val="21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2D822D6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15919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7EB295" w14:textId="77777777" w:rsidR="00872437" w:rsidRPr="00A722EC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考量學生身心發展及生活經驗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D378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E9E87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4654E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F270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8C1C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22DFF79F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52B44F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B624BE8" w14:textId="77777777" w:rsidTr="0024555D">
        <w:trPr>
          <w:trHeight w:val="253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31C7BD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7761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0A36C8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符合課綱該階段學習重點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7C1D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A15C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1C0A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8358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A59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DB1E113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C148C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E80E976" w14:textId="77777777" w:rsidTr="0024555D">
        <w:trPr>
          <w:trHeight w:val="212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506CEF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E786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9CDFF3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包含課綱及教育主管機關規定之項目(如，單元名稱、重點、進度等)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6EC1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DB729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8599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1CA7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7A7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36F527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6467D5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1B4325AE" w14:textId="77777777" w:rsidTr="0024555D">
        <w:trPr>
          <w:trHeight w:val="198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3289609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12C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A1BAC7D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教學單元/主題及內容等，具備順序性、繼續性與統整性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1598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A4E6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F55C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ABD9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8EF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858D591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0306143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4C10974" w14:textId="77777777" w:rsidTr="0024555D">
        <w:trPr>
          <w:trHeight w:val="1214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7A093C8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651B3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D19166" w14:textId="77777777" w:rsidR="00872437" w:rsidRPr="00D412C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教學時間、進度、評量方式及期程等具呼應性與邏輯性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3EB65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A468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E1664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E014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38C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7D1486A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12D3DC8F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C7500D4" w14:textId="77777777" w:rsidTr="0024555D">
        <w:trPr>
          <w:trHeight w:val="4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C94871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0A44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</w:tcPr>
          <w:p w14:paraId="1E7A0BF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善用在地文化及資源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A8921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DB94E0" w14:textId="74B2A8AF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EB1FB4" w14:textId="04FE3D0F" w:rsidR="00872437" w:rsidRDefault="00A911D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22C1D6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719AB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E4845B3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5A6D6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217CFBDD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FADA0BB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BE60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實施準備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B34D16" w14:textId="77777777" w:rsidR="00872437" w:rsidRPr="007A1AA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教師具備領域教學專業知能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42F2" w14:textId="77777777" w:rsidR="00872437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1.實地檢視各該課程實施場所之設備與材料。</w:t>
            </w:r>
          </w:p>
          <w:p w14:paraId="3E9224B7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2.學校網站、校刊或聯絡簿。</w:t>
            </w:r>
          </w:p>
          <w:p w14:paraId="0797626A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學年會議、領域會議、共同備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記錄。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55A73F7E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0C3BAD7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6879E51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756E57F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4BAF04D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14588AF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23D6D7D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422B42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90C481E" w14:textId="15B36ADE" w:rsidR="008316E0" w:rsidRPr="008316E0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一、教師持續參與本市及學校辦理相關知能研習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，並能依據課程計畫所訂定之各週進度實施課</w:t>
            </w:r>
          </w:p>
          <w:p w14:paraId="77377A84" w14:textId="2991DA0F" w:rsidR="008316E0" w:rsidRPr="008316E0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二、課程計畫於學期初公告校網，相關重要活動亦公告於校刊及透過聯絡簿通知</w:t>
            </w:r>
            <w:r w:rsidR="008901BC">
              <w:rPr>
                <w:rFonts w:ascii="標楷體" w:eastAsia="標楷體" w:hAnsi="標楷體" w:hint="eastAsia"/>
                <w:sz w:val="18"/>
                <w:szCs w:val="18"/>
              </w:rPr>
              <w:t>並於學期初之親師座談中告知與會家長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CCCB921" w14:textId="034EB2E2" w:rsidR="00872437" w:rsidRPr="001C48F3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三、開學前教科書及相關教材皆已到位。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04E72579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2953773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72A2781" w14:textId="77777777" w:rsidTr="0024555D">
        <w:trPr>
          <w:trHeight w:val="217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52D712E5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FCAB3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413685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進行親師宣導-課程計畫及活動公告週知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87A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FA32" w14:textId="77777777" w:rsidR="00872437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C1CE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5D30AC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0E1DF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885E201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233C30D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5C14B6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73A6EB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B4FBD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2EB097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備妥教科書、教材及相關資源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4E5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A85F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725E73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E3612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8D37A4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569C6605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902A6AE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5CDF7FA" w14:textId="77777777" w:rsidTr="0024555D">
        <w:trPr>
          <w:trHeight w:val="979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375D73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DAF3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實施情形</w:t>
            </w:r>
          </w:p>
        </w:tc>
        <w:tc>
          <w:tcPr>
            <w:tcW w:w="1152" w:type="dxa"/>
            <w:tcBorders>
              <w:left w:val="single" w:sz="8" w:space="0" w:color="auto"/>
              <w:right w:val="single" w:sz="4" w:space="0" w:color="auto"/>
            </w:tcBorders>
          </w:tcPr>
          <w:p w14:paraId="7FC8D70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依課程計畫進行教學，達成課程目標</w:t>
            </w:r>
          </w:p>
        </w:tc>
        <w:tc>
          <w:tcPr>
            <w:tcW w:w="2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25C0" w14:textId="77777777" w:rsidR="00872437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觀察各課程實施情形、巡堂記錄。</w:t>
            </w:r>
          </w:p>
          <w:p w14:paraId="2F8825B8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2.共備觀議課記錄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151BDE0F" w14:textId="77777777" w:rsidR="00872437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.師生意見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反應資料</w:t>
            </w: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14:paraId="6922B399" w14:textId="77777777" w:rsidR="00872437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4.學年會議及領域會議記錄。</w:t>
            </w:r>
          </w:p>
          <w:p w14:paraId="7350DFBA" w14:textId="77777777" w:rsidR="00872437" w:rsidRPr="00EF0BA6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5.校務行政系統資料。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6" w:space="0" w:color="auto"/>
            </w:tcBorders>
          </w:tcPr>
          <w:p w14:paraId="00A3D909" w14:textId="77777777" w:rsidR="00872437" w:rsidRPr="001C48F3" w:rsidRDefault="001E0ECC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</w:tcPr>
          <w:p w14:paraId="28C9E87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6" w:space="0" w:color="auto"/>
            </w:tcBorders>
          </w:tcPr>
          <w:p w14:paraId="64E8E26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14:paraId="55431480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left w:val="single" w:sz="6" w:space="0" w:color="auto"/>
            </w:tcBorders>
          </w:tcPr>
          <w:p w14:paraId="474865F4" w14:textId="77777777" w:rsidR="008316E0" w:rsidRPr="008316E0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一、依課程計畫進度教學。</w:t>
            </w:r>
          </w:p>
          <w:p w14:paraId="3F7C127D" w14:textId="77777777" w:rsidR="008316E0" w:rsidRPr="008316E0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二、每學期兩次共同備課討論教學方式及要點。</w:t>
            </w:r>
          </w:p>
          <w:p w14:paraId="15DE1EE1" w14:textId="1E47DFEF" w:rsidR="008316E0" w:rsidRPr="008316E0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;並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  <w:p w14:paraId="1A1F19FF" w14:textId="7D31368E" w:rsidR="00872437" w:rsidRPr="001C48F3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四、透過定期評量、平時觀察、展演及作業等了解學習情形，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497BD1" w:rsidRPr="00497BD1">
              <w:rPr>
                <w:rFonts w:ascii="標楷體" w:eastAsia="標楷體" w:hAnsi="標楷體" w:hint="eastAsia"/>
                <w:sz w:val="18"/>
                <w:szCs w:val="18"/>
              </w:rPr>
              <w:t>進行課程與教學調整</w:t>
            </w:r>
            <w:r w:rsidR="00497BD1">
              <w:rPr>
                <w:rFonts w:ascii="標楷體" w:eastAsia="標楷體" w:hAnsi="標楷體" w:hint="eastAsia"/>
                <w:sz w:val="18"/>
                <w:szCs w:val="18"/>
              </w:rPr>
              <w:t>，並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針對學習落後學生進行補救教學。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14:paraId="3635087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2B931D0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307D2EB" w14:textId="77777777" w:rsidTr="0024555D">
        <w:trPr>
          <w:trHeight w:val="94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09AF0884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E66980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46A1A29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視課程內容及學生情形採用多元教學策略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5562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A7D2D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10E26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9F543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2F5F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3E32CA6A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3D8C1B8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552438E3" w14:textId="77777777" w:rsidTr="0024555D">
        <w:trPr>
          <w:trHeight w:val="706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1E335DE9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A673A2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AEEC57" w14:textId="77777777" w:rsidR="00872437" w:rsidRPr="00463372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以多元方式進行平時與定期評量。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7AF5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2C911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876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D63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663E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4AB2B5C2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44F3B99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0682B9F2" w14:textId="77777777" w:rsidTr="0024555D">
        <w:trPr>
          <w:trHeight w:val="240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9A7448A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D476F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A5D58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針對評量結果進行課程與教學調整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1A6" w14:textId="77777777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D0DE7C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42B7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3533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0C0B44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E1928F0" w14:textId="77777777" w:rsidR="00872437" w:rsidRDefault="00872437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445522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7CC63BB0" w14:textId="77777777" w:rsidTr="0024555D">
        <w:trPr>
          <w:trHeight w:val="311"/>
        </w:trPr>
        <w:tc>
          <w:tcPr>
            <w:tcW w:w="684" w:type="dxa"/>
            <w:vMerge/>
            <w:tcBorders>
              <w:right w:val="single" w:sz="8" w:space="0" w:color="auto"/>
            </w:tcBorders>
            <w:vAlign w:val="center"/>
          </w:tcPr>
          <w:p w14:paraId="60241C0E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552631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1C48F3">
              <w:rPr>
                <w:rFonts w:ascii="標楷體" w:eastAsia="標楷體" w:hAnsi="標楷體" w:hint="eastAsia"/>
                <w:szCs w:val="20"/>
              </w:rPr>
              <w:t>效果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A70F3A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學生習得該階段學習重點，達成課程目標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161E6" w14:textId="0504152B" w:rsidR="00872437" w:rsidRPr="001C48F3" w:rsidRDefault="00872437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C48F3"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學習活動觀察及定期評量資料。</w:t>
            </w:r>
          </w:p>
          <w:p w14:paraId="5855840D" w14:textId="292982B7" w:rsidR="00872437" w:rsidRPr="001C48F3" w:rsidRDefault="00D776D4" w:rsidP="003C7BE0">
            <w:pPr>
              <w:tabs>
                <w:tab w:val="left" w:pos="13750"/>
              </w:tabs>
              <w:spacing w:line="0" w:lineRule="atLeas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72437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學生之作業成品、實</w:t>
            </w:r>
            <w:r w:rsidR="00A26C1C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  <w:r w:rsidR="00872437" w:rsidRPr="001C48F3">
              <w:rPr>
                <w:rFonts w:ascii="標楷體" w:eastAsia="標楷體" w:hAnsi="標楷體" w:hint="eastAsia"/>
                <w:sz w:val="18"/>
                <w:szCs w:val="18"/>
              </w:rPr>
              <w:t>評量或學習檔案資料。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7DC35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  <w:p w14:paraId="1F87D64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33AF97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0EE4193D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FA8E36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6D296ACB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8F2CF4D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4607A9FE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C67E05F" w14:textId="5924522F" w:rsidR="008316E0" w:rsidRPr="008316E0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一、多數學生皆能習得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該階段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學習重點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並能養成該領域之學習素養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，具有持續學習的</w:t>
            </w:r>
            <w:r w:rsidR="004740C7">
              <w:rPr>
                <w:rFonts w:ascii="標楷體" w:eastAsia="標楷體" w:hAnsi="標楷體" w:hint="eastAsia"/>
                <w:sz w:val="18"/>
                <w:szCs w:val="18"/>
              </w:rPr>
              <w:t>學力</w:t>
            </w: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基礎及態度。</w:t>
            </w:r>
          </w:p>
          <w:p w14:paraId="276A0A1E" w14:textId="77777777" w:rsidR="00872437" w:rsidRDefault="008316E0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8316E0">
              <w:rPr>
                <w:rFonts w:ascii="標楷體" w:eastAsia="標楷體" w:hAnsi="標楷體" w:hint="eastAsia"/>
                <w:sz w:val="18"/>
                <w:szCs w:val="18"/>
              </w:rPr>
              <w:t>二、</w:t>
            </w:r>
            <w:r w:rsidR="00A26C1C">
              <w:rPr>
                <w:rFonts w:ascii="標楷體" w:eastAsia="標楷體" w:hAnsi="標楷體" w:hint="eastAsia"/>
                <w:sz w:val="18"/>
                <w:szCs w:val="18"/>
              </w:rPr>
              <w:t>定期考查多數達到及格以上。</w:t>
            </w:r>
          </w:p>
          <w:p w14:paraId="47BB6A32" w14:textId="0C89550B" w:rsidR="005257B0" w:rsidRPr="001C48F3" w:rsidRDefault="00A26C1C" w:rsidP="009D214F">
            <w:pPr>
              <w:widowControl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</w:t>
            </w:r>
            <w:r w:rsidR="005257B0" w:rsidRPr="005257B0">
              <w:rPr>
                <w:rFonts w:ascii="標楷體" w:eastAsia="標楷體" w:hAnsi="標楷體" w:hint="eastAsia"/>
                <w:sz w:val="18"/>
                <w:szCs w:val="18"/>
              </w:rPr>
              <w:t>學生能透過多元評量如展演、報告、學習單等方式呈現自己的學習成果。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E5E191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  <w:p w14:paraId="3D0B7CF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49A40834" w14:textId="77777777" w:rsidTr="0024555D">
        <w:trPr>
          <w:trHeight w:val="678"/>
        </w:trPr>
        <w:tc>
          <w:tcPr>
            <w:tcW w:w="684" w:type="dxa"/>
            <w:vMerge/>
            <w:tcBorders>
              <w:right w:val="single" w:sz="8" w:space="0" w:color="auto"/>
            </w:tcBorders>
          </w:tcPr>
          <w:p w14:paraId="5BECC9F8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0D12D3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E97F96C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學生具備向上銜接之學力基礎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9D19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BF7B09" w14:textId="77777777" w:rsidR="00872437" w:rsidRDefault="001E0ECC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FCF86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293DEB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92BFA" w14:textId="77777777" w:rsidR="00872437" w:rsidRDefault="00872437" w:rsidP="0024555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</w:tcBorders>
          </w:tcPr>
          <w:p w14:paraId="7158D3DC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14:paraId="77C4880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2437" w:rsidRPr="001C48F3" w14:paraId="6713B98C" w14:textId="77777777" w:rsidTr="0024555D">
        <w:trPr>
          <w:trHeight w:val="184"/>
        </w:trPr>
        <w:tc>
          <w:tcPr>
            <w:tcW w:w="68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4DB969F" w14:textId="77777777" w:rsidR="00872437" w:rsidRPr="001C48F3" w:rsidRDefault="00872437" w:rsidP="0024555D">
            <w:pPr>
              <w:tabs>
                <w:tab w:val="left" w:pos="13750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2288" w14:textId="77777777" w:rsidR="00872437" w:rsidRPr="001C48F3" w:rsidRDefault="00872437" w:rsidP="0024555D">
            <w:pPr>
              <w:tabs>
                <w:tab w:val="left" w:pos="13750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EFB443" w14:textId="77777777" w:rsidR="00872437" w:rsidRDefault="00872437" w:rsidP="0024555D">
            <w:pPr>
              <w:tabs>
                <w:tab w:val="left" w:pos="1375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學生顯現非意圖之學習結果(潛在課程)具有正向價值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6E04" w14:textId="77777777" w:rsidR="00872437" w:rsidRPr="001C48F3" w:rsidRDefault="00872437" w:rsidP="0024555D">
            <w:pPr>
              <w:tabs>
                <w:tab w:val="left" w:pos="1375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007D14" w14:textId="77777777" w:rsidR="00872437" w:rsidRDefault="001E0ECC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ECB11C6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F75CAE5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4F597AB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C86B38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7FC5ECA0" w14:textId="77777777" w:rsidR="00872437" w:rsidRDefault="00872437" w:rsidP="0024555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B6DEF2E" w14:textId="77777777" w:rsidR="00AD736D" w:rsidRPr="00272EF5" w:rsidRDefault="00AD736D" w:rsidP="00AD736D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評鑑表完成日期：11</w:t>
      </w:r>
      <w:r>
        <w:rPr>
          <w:rFonts w:ascii="標楷體" w:eastAsia="標楷體" w:hAnsi="標楷體" w:hint="eastAsia"/>
          <w:b/>
        </w:rPr>
        <w:t>4</w:t>
      </w:r>
      <w:r w:rsidRPr="00272EF5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5</w:t>
      </w:r>
      <w:r w:rsidRPr="00272EF5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14</w:t>
      </w:r>
      <w:r w:rsidRPr="00272EF5">
        <w:rPr>
          <w:rFonts w:ascii="標楷體" w:eastAsia="標楷體" w:hAnsi="標楷體" w:hint="eastAsia"/>
          <w:b/>
        </w:rPr>
        <w:t>日</w:t>
      </w:r>
    </w:p>
    <w:p w14:paraId="337D73F4" w14:textId="77777777" w:rsidR="00AD736D" w:rsidRDefault="00AD736D" w:rsidP="00AD736D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  <w:r w:rsidRPr="00272EF5">
        <w:rPr>
          <w:rFonts w:ascii="標楷體" w:eastAsia="標楷體" w:hAnsi="標楷體" w:hint="eastAsia"/>
          <w:b/>
        </w:rPr>
        <w:t>評鑑人員：</w:t>
      </w:r>
      <w:r>
        <w:rPr>
          <w:rFonts w:ascii="標楷體" w:eastAsia="標楷體" w:hAnsi="標楷體" w:hint="eastAsia"/>
          <w:b/>
        </w:rPr>
        <w:t>李蓮欣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錢俊其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楊詠晴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楊雅惠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楊立惠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童惠玲</w:t>
      </w:r>
      <w:r w:rsidRPr="00306D6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黃月絹、林俐媜</w:t>
      </w:r>
    </w:p>
    <w:p w14:paraId="2DEA824B" w14:textId="781E8BC9" w:rsidR="00872437" w:rsidRPr="00AD736D" w:rsidRDefault="00872437" w:rsidP="00272EF5">
      <w:pPr>
        <w:tabs>
          <w:tab w:val="left" w:pos="13750"/>
        </w:tabs>
        <w:spacing w:beforeLines="50" w:before="180" w:afterLines="50" w:after="180"/>
        <w:jc w:val="both"/>
        <w:rPr>
          <w:rFonts w:ascii="標楷體" w:eastAsia="標楷體" w:hAnsi="標楷體"/>
          <w:b/>
        </w:rPr>
      </w:pPr>
    </w:p>
    <w:p w14:paraId="18953045" w14:textId="77777777" w:rsidR="00FE21F4" w:rsidRDefault="00FE21F4"/>
    <w:sectPr w:rsidR="00FE21F4" w:rsidSect="008724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4BF8" w14:textId="77777777" w:rsidR="00486A9A" w:rsidRDefault="00486A9A" w:rsidP="00A8226A">
      <w:r>
        <w:separator/>
      </w:r>
    </w:p>
  </w:endnote>
  <w:endnote w:type="continuationSeparator" w:id="0">
    <w:p w14:paraId="1F7C5703" w14:textId="77777777" w:rsidR="00486A9A" w:rsidRDefault="00486A9A" w:rsidP="00A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3D19" w14:textId="77777777" w:rsidR="00486A9A" w:rsidRDefault="00486A9A" w:rsidP="00A8226A">
      <w:r>
        <w:separator/>
      </w:r>
    </w:p>
  </w:footnote>
  <w:footnote w:type="continuationSeparator" w:id="0">
    <w:p w14:paraId="7097D13F" w14:textId="77777777" w:rsidR="00486A9A" w:rsidRDefault="00486A9A" w:rsidP="00A8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31A7D"/>
    <w:multiLevelType w:val="hybridMultilevel"/>
    <w:tmpl w:val="46F47058"/>
    <w:lvl w:ilvl="0" w:tplc="70A85BB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754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37"/>
    <w:rsid w:val="000821AB"/>
    <w:rsid w:val="00137BD0"/>
    <w:rsid w:val="001E0ECC"/>
    <w:rsid w:val="0021277F"/>
    <w:rsid w:val="00251FE8"/>
    <w:rsid w:val="00272EF5"/>
    <w:rsid w:val="002B78F0"/>
    <w:rsid w:val="002D1D32"/>
    <w:rsid w:val="00306D6A"/>
    <w:rsid w:val="00393C44"/>
    <w:rsid w:val="003A6131"/>
    <w:rsid w:val="003C7BE0"/>
    <w:rsid w:val="003E2A99"/>
    <w:rsid w:val="003E311C"/>
    <w:rsid w:val="004444C6"/>
    <w:rsid w:val="004630DB"/>
    <w:rsid w:val="004740C7"/>
    <w:rsid w:val="00486A9A"/>
    <w:rsid w:val="00497BD1"/>
    <w:rsid w:val="004B2C84"/>
    <w:rsid w:val="005257B0"/>
    <w:rsid w:val="00653589"/>
    <w:rsid w:val="00757E18"/>
    <w:rsid w:val="007B245B"/>
    <w:rsid w:val="008316E0"/>
    <w:rsid w:val="00872437"/>
    <w:rsid w:val="008901BC"/>
    <w:rsid w:val="00912216"/>
    <w:rsid w:val="00921CA6"/>
    <w:rsid w:val="00986FE4"/>
    <w:rsid w:val="009D214F"/>
    <w:rsid w:val="009D2D3E"/>
    <w:rsid w:val="00A00AA7"/>
    <w:rsid w:val="00A05DCE"/>
    <w:rsid w:val="00A2463F"/>
    <w:rsid w:val="00A26C1C"/>
    <w:rsid w:val="00A72B24"/>
    <w:rsid w:val="00A8226A"/>
    <w:rsid w:val="00A911DC"/>
    <w:rsid w:val="00AA7F43"/>
    <w:rsid w:val="00AD1AFD"/>
    <w:rsid w:val="00AD736D"/>
    <w:rsid w:val="00BD6060"/>
    <w:rsid w:val="00CE4FEB"/>
    <w:rsid w:val="00CE5E15"/>
    <w:rsid w:val="00D64042"/>
    <w:rsid w:val="00D776D4"/>
    <w:rsid w:val="00DD0175"/>
    <w:rsid w:val="00E20DA5"/>
    <w:rsid w:val="00E64F20"/>
    <w:rsid w:val="00E87EBC"/>
    <w:rsid w:val="00EA01E5"/>
    <w:rsid w:val="00F40D77"/>
    <w:rsid w:val="00F45C3B"/>
    <w:rsid w:val="00F54F76"/>
    <w:rsid w:val="00F838E2"/>
    <w:rsid w:val="00FC3984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CCFA"/>
  <w15:docId w15:val="{84916476-9BA3-43E0-B2D2-1A95AB65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4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3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22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838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Lotus Lee</cp:lastModifiedBy>
  <cp:revision>3</cp:revision>
  <dcterms:created xsi:type="dcterms:W3CDTF">2025-05-14T11:43:00Z</dcterms:created>
  <dcterms:modified xsi:type="dcterms:W3CDTF">2025-05-14T11:48:00Z</dcterms:modified>
</cp:coreProperties>
</file>